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64E5" w:rsidRDefault="00552620" w:rsidP="00E664E5">
      <w:pPr>
        <w:jc w:val="center"/>
        <w:rPr>
          <w:rFonts w:ascii="Garamond" w:hAnsi="Garamond"/>
        </w:rPr>
      </w:pPr>
      <w:r>
        <w:rPr>
          <w:noProof/>
          <w:color w:val="808080"/>
          <w:lang w:eastAsia="pl-PL"/>
        </w:rPr>
        <w:drawing>
          <wp:inline distT="0" distB="0" distL="0" distR="0">
            <wp:extent cx="809625" cy="1238250"/>
            <wp:effectExtent l="19050" t="0" r="9525" b="0"/>
            <wp:docPr id="1" name="Obraz 1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titled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E5" w:rsidRDefault="00E664E5" w:rsidP="00E664E5">
      <w:pPr>
        <w:jc w:val="center"/>
        <w:rPr>
          <w:color w:val="808080"/>
        </w:rPr>
      </w:pPr>
      <w:r>
        <w:rPr>
          <w:color w:val="808080"/>
        </w:rPr>
        <w:t xml:space="preserve">AKADEMIA MARYNARKI WOJENNEJ W GDYNI                                        </w:t>
      </w:r>
      <w:r w:rsidR="000761A0">
        <w:rPr>
          <w:color w:val="808080"/>
        </w:rPr>
        <w:t>WYDZIAŁ NAUK HUMANISTYCZNYCH I SPOŁECZNYCH</w:t>
      </w:r>
    </w:p>
    <w:p w:rsidR="00A97271" w:rsidRPr="003A5B3B" w:rsidRDefault="00223A63" w:rsidP="00A97271">
      <w:pPr>
        <w:spacing w:after="0"/>
        <w:jc w:val="center"/>
        <w:rPr>
          <w:b/>
        </w:rPr>
      </w:pPr>
      <w:r w:rsidRPr="00223A63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.6pt;margin-top:8.15pt;width:657.3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" strokecolor="#7f7f7f" strokeweight=".18mm"/>
        </w:pict>
      </w:r>
      <w:r w:rsidR="00632F90">
        <w:rPr>
          <w:b/>
        </w:rPr>
        <w:br/>
      </w:r>
      <w:r w:rsidR="00A97271" w:rsidRPr="00A97271">
        <w:rPr>
          <w:b/>
        </w:rPr>
        <w:t>KARTA OPISU PRZEDMIOTU</w:t>
      </w:r>
      <w:r w:rsidR="00A97271" w:rsidRPr="00A97271">
        <w:rPr>
          <w:b/>
        </w:rPr>
        <w:br/>
      </w:r>
      <w:r w:rsidR="003A5B3B" w:rsidRPr="003A5B3B">
        <w:rPr>
          <w:b/>
        </w:rPr>
        <w:t>METODOLOGIA BADAŃ PEDAGOGICZNYCH</w:t>
      </w:r>
    </w:p>
    <w:tbl>
      <w:tblPr>
        <w:tblW w:w="14286" w:type="dxa"/>
        <w:tblLayout w:type="fixed"/>
        <w:tblCellMar>
          <w:left w:w="113" w:type="dxa"/>
        </w:tblCellMar>
        <w:tblLook w:val="0000"/>
      </w:tblPr>
      <w:tblGrid>
        <w:gridCol w:w="539"/>
        <w:gridCol w:w="23"/>
        <w:gridCol w:w="924"/>
        <w:gridCol w:w="763"/>
        <w:gridCol w:w="132"/>
        <w:gridCol w:w="439"/>
        <w:gridCol w:w="406"/>
        <w:gridCol w:w="6"/>
        <w:gridCol w:w="283"/>
        <w:gridCol w:w="1058"/>
        <w:gridCol w:w="785"/>
        <w:gridCol w:w="2339"/>
        <w:gridCol w:w="538"/>
        <w:gridCol w:w="375"/>
        <w:gridCol w:w="8"/>
        <w:gridCol w:w="22"/>
        <w:gridCol w:w="1763"/>
        <w:gridCol w:w="1050"/>
        <w:gridCol w:w="359"/>
        <w:gridCol w:w="634"/>
        <w:gridCol w:w="324"/>
        <w:gridCol w:w="753"/>
        <w:gridCol w:w="763"/>
      </w:tblGrid>
      <w:tr w:rsidR="00632F90" w:rsidRPr="00A97271" w:rsidTr="00A97271">
        <w:trPr>
          <w:trHeight w:val="397"/>
        </w:trPr>
        <w:tc>
          <w:tcPr>
            <w:tcW w:w="142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32F90" w:rsidRPr="00A97271" w:rsidRDefault="00632F9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Informacje ogólne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1.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Nazwa przedmiotu</w:t>
            </w:r>
          </w:p>
        </w:tc>
        <w:tc>
          <w:tcPr>
            <w:tcW w:w="97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D163FF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Metodologia badań pedagogicznych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2.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Jednostka prowadząca</w:t>
            </w:r>
          </w:p>
        </w:tc>
        <w:tc>
          <w:tcPr>
            <w:tcW w:w="97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  <w:i/>
                <w:color w:val="0070C0"/>
              </w:rPr>
              <w:t>Instytut Pedagogiki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3.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Kod przedmiotu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FF6E5E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PK17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8.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Semestr</w:t>
            </w:r>
          </w:p>
        </w:tc>
        <w:tc>
          <w:tcPr>
            <w:tcW w:w="3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FF6E5E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III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4.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Kierunek studiów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  <w:i/>
                <w:color w:val="0070C0"/>
              </w:rPr>
              <w:t>Pedagogika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9.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CE37C5" w:rsidRDefault="00CE37C5">
            <w:pPr>
              <w:spacing w:after="0" w:line="240" w:lineRule="auto"/>
              <w:rPr>
                <w:rFonts w:cs="Calibri"/>
              </w:rPr>
            </w:pPr>
            <w:r w:rsidRPr="00CE37C5">
              <w:rPr>
                <w:rFonts w:cs="Calibri"/>
              </w:rPr>
              <w:t>Liczba godzin przy bezpośrednim udziale nauczyciela</w:t>
            </w:r>
          </w:p>
        </w:tc>
        <w:tc>
          <w:tcPr>
            <w:tcW w:w="3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A4118A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6</w:t>
            </w:r>
            <w:r w:rsidR="00FF6E5E" w:rsidRPr="00A57D52">
              <w:rPr>
                <w:rFonts w:cs="Calibri"/>
                <w:i/>
                <w:color w:val="0070C0"/>
              </w:rPr>
              <w:t>0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5.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Poziom kształcenia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1A16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color w:val="0070C0"/>
              </w:rPr>
              <w:t>Studia I</w:t>
            </w:r>
            <w:r w:rsidR="00632F90" w:rsidRPr="00A97271">
              <w:rPr>
                <w:rFonts w:cs="Calibri"/>
                <w:i/>
                <w:color w:val="0070C0"/>
              </w:rPr>
              <w:t xml:space="preserve"> stopnia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 xml:space="preserve">10. 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Liczba punktów ECTS</w:t>
            </w:r>
          </w:p>
        </w:tc>
        <w:tc>
          <w:tcPr>
            <w:tcW w:w="3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FF6E5E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4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6.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Profil kształcenia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1A16D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i/>
                <w:color w:val="0070C0"/>
              </w:rPr>
              <w:t>Ogólnoakademicki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11.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eastAsia="Calibri" w:cs="Calibri"/>
                <w:i/>
                <w:color w:val="0070C0"/>
              </w:rPr>
            </w:pPr>
            <w:r w:rsidRPr="00A97271">
              <w:rPr>
                <w:rFonts w:cs="Calibri"/>
              </w:rPr>
              <w:t>Rygor</w:t>
            </w:r>
          </w:p>
        </w:tc>
        <w:tc>
          <w:tcPr>
            <w:tcW w:w="3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eastAsia="Calibri" w:cs="Calibri"/>
                <w:i/>
                <w:color w:val="0070C0"/>
              </w:rPr>
              <w:t>Zaliczenie z oceną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7.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Forma studiów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A4118A" w:rsidP="00074DE1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S</w:t>
            </w:r>
            <w:r w:rsidR="00FF6E5E" w:rsidRPr="00A57D52">
              <w:rPr>
                <w:rFonts w:cs="Calibri"/>
                <w:i/>
                <w:color w:val="0070C0"/>
              </w:rPr>
              <w:t>tacjonarne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</w:rPr>
            </w:pPr>
            <w:r w:rsidRPr="00A97271">
              <w:rPr>
                <w:rFonts w:cs="Calibri"/>
              </w:rPr>
              <w:t>12.</w:t>
            </w:r>
          </w:p>
        </w:tc>
        <w:tc>
          <w:tcPr>
            <w:tcW w:w="2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Kierownik przedmiotu, prowadzący</w:t>
            </w:r>
          </w:p>
        </w:tc>
        <w:tc>
          <w:tcPr>
            <w:tcW w:w="3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57D52" w:rsidRDefault="00FF6E5E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dr Wincenty Karawajczyk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232F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</w:t>
            </w:r>
            <w:r w:rsidR="00632F90" w:rsidRPr="00A97271">
              <w:rPr>
                <w:rFonts w:cs="Calibri"/>
              </w:rPr>
              <w:t>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</w:rPr>
              <w:t>Przedmioty wprowadzające</w:t>
            </w:r>
            <w:r w:rsidR="00AD0C93">
              <w:rPr>
                <w:rFonts w:cs="Calibri"/>
              </w:rPr>
              <w:t xml:space="preserve"> i wymagania wstępne</w:t>
            </w:r>
          </w:p>
        </w:tc>
        <w:tc>
          <w:tcPr>
            <w:tcW w:w="97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620" w:rsidRPr="00A57D52" w:rsidRDefault="00FF6E5E" w:rsidP="0055262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Pojęcia i systemy pedagogiczne</w:t>
            </w:r>
            <w:r w:rsidR="003A5B3B" w:rsidRPr="00A57D52">
              <w:rPr>
                <w:rFonts w:cs="Calibri"/>
                <w:i/>
                <w:color w:val="0070C0"/>
              </w:rPr>
              <w:t>;</w:t>
            </w:r>
          </w:p>
          <w:p w:rsidR="003A5B3B" w:rsidRPr="00A57D52" w:rsidRDefault="003A5B3B" w:rsidP="0055262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57D52">
              <w:rPr>
                <w:rFonts w:cs="Calibri"/>
                <w:i/>
                <w:color w:val="0070C0"/>
              </w:rPr>
              <w:t>Student posiada wiedzę dotyczącą przedmiotu i specyfiki pedagogiki jako nauki</w:t>
            </w: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232F3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</w:t>
            </w:r>
            <w:r w:rsidR="00AD0C93">
              <w:rPr>
                <w:rFonts w:cs="Calibri"/>
              </w:rPr>
              <w:t>.</w:t>
            </w:r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AD0C93">
            <w:pPr>
              <w:spacing w:after="0" w:line="240" w:lineRule="auto"/>
              <w:rPr>
                <w:rFonts w:cs="Calibri"/>
                <w:i/>
                <w:color w:val="548DD4"/>
              </w:rPr>
            </w:pPr>
            <w:r>
              <w:rPr>
                <w:rFonts w:cs="Calibri"/>
              </w:rPr>
              <w:t xml:space="preserve">Ramowe założenia </w:t>
            </w:r>
            <w:r w:rsidRPr="00A97271">
              <w:rPr>
                <w:rFonts w:cs="Calibri"/>
              </w:rPr>
              <w:t>przedmiotu</w:t>
            </w:r>
          </w:p>
        </w:tc>
        <w:tc>
          <w:tcPr>
            <w:tcW w:w="97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271" w:rsidRPr="00386790" w:rsidRDefault="00632F9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386790">
              <w:rPr>
                <w:rFonts w:cs="Calibri"/>
                <w:i/>
                <w:color w:val="0070C0"/>
              </w:rPr>
              <w:t xml:space="preserve">Student </w:t>
            </w:r>
            <w:r w:rsidR="00AD0C93" w:rsidRPr="00386790">
              <w:rPr>
                <w:rFonts w:cs="Calibri"/>
                <w:i/>
                <w:color w:val="0070C0"/>
              </w:rPr>
              <w:t xml:space="preserve">zdobywa </w:t>
            </w:r>
            <w:r w:rsidR="00386790" w:rsidRPr="00386790">
              <w:rPr>
                <w:i/>
                <w:color w:val="0070C0"/>
              </w:rPr>
              <w:t>wiedzę, umiejętności i kompetencje społeczne niezbędne do planowania, organizacji i realizacji procesu badawczego, a także analizy i opracowania uzyskanych wyników, w celu poprawnego wykonania pracy dyplomowej</w:t>
            </w:r>
          </w:p>
          <w:p w:rsidR="00A97271" w:rsidRPr="00386790" w:rsidRDefault="00A97271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  <w:tr w:rsidR="00632F90" w:rsidRPr="00A97271" w:rsidTr="00A97271">
        <w:trPr>
          <w:trHeight w:val="397"/>
        </w:trPr>
        <w:tc>
          <w:tcPr>
            <w:tcW w:w="142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2F90" w:rsidRPr="00A97271" w:rsidRDefault="00632F9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Efekty kształcenia</w:t>
            </w:r>
          </w:p>
        </w:tc>
      </w:tr>
      <w:tr w:rsidR="00632F90" w:rsidRPr="00A97271" w:rsidTr="00AD0C93">
        <w:trPr>
          <w:trHeight w:val="550"/>
        </w:trPr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lastRenderedPageBreak/>
              <w:t>Kategoria</w:t>
            </w:r>
          </w:p>
        </w:tc>
        <w:tc>
          <w:tcPr>
            <w:tcW w:w="7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before="240" w:after="24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Efekty k</w:t>
            </w:r>
            <w:r w:rsidR="00AD0C93">
              <w:rPr>
                <w:rFonts w:cs="Calibri"/>
              </w:rPr>
              <w:t>ształcenia dla przedmiotu</w:t>
            </w:r>
          </w:p>
        </w:tc>
        <w:tc>
          <w:tcPr>
            <w:tcW w:w="31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 xml:space="preserve">Efekty kształcenia </w:t>
            </w:r>
            <w:r w:rsidRPr="00A97271">
              <w:rPr>
                <w:rFonts w:cs="Calibri"/>
              </w:rPr>
              <w:br/>
              <w:t>dla kierunku</w:t>
            </w:r>
          </w:p>
        </w:tc>
        <w:tc>
          <w:tcPr>
            <w:tcW w:w="24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 xml:space="preserve">Efekty kształcenia </w:t>
            </w:r>
            <w:r w:rsidRPr="00A97271">
              <w:rPr>
                <w:rFonts w:cs="Calibri"/>
              </w:rPr>
              <w:br/>
              <w:t>dla obszaru nauk humanistycznych</w:t>
            </w:r>
            <w:r w:rsidRPr="00A97271">
              <w:rPr>
                <w:rFonts w:cs="Calibri"/>
              </w:rPr>
              <w:br/>
              <w:t>i społecznych</w:t>
            </w:r>
          </w:p>
        </w:tc>
      </w:tr>
      <w:tr w:rsidR="00632F90" w:rsidRPr="00A97271" w:rsidTr="00AD0C93">
        <w:trPr>
          <w:trHeight w:val="550"/>
        </w:trPr>
        <w:tc>
          <w:tcPr>
            <w:tcW w:w="14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Symbol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before="240" w:after="24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Opis</w:t>
            </w:r>
          </w:p>
        </w:tc>
        <w:tc>
          <w:tcPr>
            <w:tcW w:w="31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32F90" w:rsidRPr="00A97271" w:rsidTr="00A97271">
        <w:trPr>
          <w:trHeight w:val="397"/>
        </w:trPr>
        <w:tc>
          <w:tcPr>
            <w:tcW w:w="142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  <w:i/>
              </w:rPr>
              <w:t>Po zakończeniu realizacji przedmiotu/modułu student:</w:t>
            </w:r>
          </w:p>
        </w:tc>
      </w:tr>
      <w:tr w:rsidR="00C31C85" w:rsidRPr="00A97271" w:rsidTr="00232F36">
        <w:trPr>
          <w:trHeight w:hRule="exact" w:val="794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1C85" w:rsidRPr="00A97271" w:rsidRDefault="00C31C85" w:rsidP="00232F36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1</w:t>
            </w:r>
            <w:r w:rsidR="00232F36">
              <w:rPr>
                <w:rFonts w:cs="Calibri"/>
              </w:rPr>
              <w:t>5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1C85" w:rsidRPr="00E312C5" w:rsidRDefault="00C31C85">
            <w:pPr>
              <w:spacing w:after="0" w:line="240" w:lineRule="auto"/>
              <w:ind w:left="113" w:right="113"/>
              <w:jc w:val="center"/>
              <w:rPr>
                <w:rFonts w:cs="Calibri"/>
                <w:i/>
                <w:color w:val="0070C0"/>
                <w:sz w:val="18"/>
                <w:szCs w:val="18"/>
              </w:rPr>
            </w:pPr>
            <w:r w:rsidRPr="00E312C5">
              <w:rPr>
                <w:rFonts w:cs="Calibri"/>
                <w:sz w:val="18"/>
                <w:szCs w:val="18"/>
              </w:rPr>
              <w:t>Wiedza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W1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3B001E" w:rsidRDefault="00A57D52" w:rsidP="003B00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>M</w:t>
            </w:r>
            <w:r w:rsidR="003B001E" w:rsidRPr="003B001E">
              <w:rPr>
                <w:rFonts w:cs="UniversPro-Roman"/>
                <w:i/>
                <w:color w:val="0070C0"/>
                <w:kern w:val="0"/>
                <w:lang w:eastAsia="pl-PL"/>
              </w:rPr>
              <w:t>a elementarną wiedzę o miejscu pedagogiki w systemie nauk oraz o jej przedmiotowych i metodologicznych powiązaniach z innymi dyscyplinami naukowymi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2B7821" w:rsidP="000761A0">
            <w:pPr>
              <w:spacing w:after="0" w:line="240" w:lineRule="auto"/>
              <w:rPr>
                <w:rFonts w:eastAsia="UniversPro-Roman" w:cs="Calibri"/>
                <w:i/>
                <w:color w:val="0070C0"/>
              </w:rPr>
            </w:pPr>
            <w:r>
              <w:rPr>
                <w:rFonts w:eastAsia="UniversPro-Roman" w:cs="Calibri"/>
                <w:i/>
                <w:color w:val="0070C0"/>
              </w:rPr>
              <w:t>K_W02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01E" w:rsidRPr="003B001E" w:rsidRDefault="003B001E" w:rsidP="003B00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UniversPro-Roman"/>
                <w:i/>
                <w:color w:val="0070C0"/>
                <w:kern w:val="0"/>
                <w:lang w:eastAsia="pl-PL"/>
              </w:rPr>
            </w:pPr>
            <w:r w:rsidRPr="003B001E">
              <w:rPr>
                <w:rFonts w:cs="UniversPro-Roman"/>
                <w:i/>
                <w:color w:val="0070C0"/>
                <w:kern w:val="0"/>
                <w:lang w:eastAsia="pl-PL"/>
              </w:rPr>
              <w:t>H1A_W05</w:t>
            </w:r>
          </w:p>
          <w:p w:rsidR="00C31C85" w:rsidRPr="003B001E" w:rsidRDefault="003B001E" w:rsidP="003B001E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3B001E">
              <w:rPr>
                <w:rFonts w:cs="UniversPro-Roman"/>
                <w:i/>
                <w:color w:val="0070C0"/>
                <w:kern w:val="0"/>
                <w:lang w:eastAsia="pl-PL"/>
              </w:rPr>
              <w:t>H1A_W03</w:t>
            </w:r>
          </w:p>
        </w:tc>
      </w:tr>
      <w:tr w:rsidR="00C31C85" w:rsidRPr="00A97271" w:rsidTr="00232F36">
        <w:trPr>
          <w:trHeight w:hRule="exact" w:val="1644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1C85" w:rsidRPr="00A97271" w:rsidRDefault="00C31C85" w:rsidP="005526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1C85" w:rsidRPr="00E312C5" w:rsidRDefault="00C31C85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W2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Default="00A57D52" w:rsidP="00CA43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UniversPro-Roman"/>
                <w:i/>
                <w:color w:val="0070C0"/>
                <w:kern w:val="0"/>
                <w:lang w:eastAsia="pl-PL"/>
              </w:rPr>
            </w:pP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>Charakteryzuje p</w:t>
            </w:r>
            <w:r w:rsidR="00CA43A4"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o</w:t>
            </w: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>dstawowe zasady projektowania i prowadzenia</w:t>
            </w:r>
            <w:r w:rsidR="00CA43A4"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 xml:space="preserve"> badań w pedagogice, a w szczególności </w:t>
            </w: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>f</w:t>
            </w:r>
            <w:r w:rsidR="00CA43A4"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o</w:t>
            </w: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>rmułowania  problemów badawczych oraz doboru  metod, technik i narzędzi</w:t>
            </w:r>
            <w:r w:rsidR="00CA43A4"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 xml:space="preserve"> badawczych; zna tradycje paradygmatycznebadań społecznych, z których wywodzą się poszczególne metody</w:t>
            </w:r>
          </w:p>
          <w:p w:rsidR="00A57D52" w:rsidRPr="00CA43A4" w:rsidRDefault="00A57D52" w:rsidP="00CA43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2B7821" w:rsidP="000761A0">
            <w:pPr>
              <w:spacing w:after="0" w:line="240" w:lineRule="auto"/>
              <w:rPr>
                <w:rFonts w:eastAsia="UniversPro-Roman" w:cs="Calibri"/>
                <w:i/>
                <w:color w:val="0070C0"/>
              </w:rPr>
            </w:pPr>
            <w:r>
              <w:rPr>
                <w:rFonts w:eastAsia="UniversPro-Roman" w:cs="Calibri"/>
                <w:i/>
                <w:color w:val="0070C0"/>
              </w:rPr>
              <w:t>K_W12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CA43A4" w:rsidRDefault="00CA43A4" w:rsidP="000761A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S1A_W06</w:t>
            </w:r>
          </w:p>
        </w:tc>
      </w:tr>
      <w:tr w:rsidR="00C31C85" w:rsidRPr="00A97271" w:rsidTr="00232F36">
        <w:trPr>
          <w:trHeight w:hRule="exact" w:val="405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1C85" w:rsidRPr="00A97271" w:rsidRDefault="00C31C85" w:rsidP="005526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1C85" w:rsidRPr="00E312C5" w:rsidRDefault="00C31C85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W3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 w:rsidP="000761A0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 w:rsidP="000761A0">
            <w:pPr>
              <w:spacing w:after="0" w:line="240" w:lineRule="auto"/>
              <w:rPr>
                <w:rFonts w:eastAsia="UniversPro-Roman" w:cs="Calibri"/>
                <w:i/>
                <w:color w:val="0070C0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 w:rsidP="000761A0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  <w:tr w:rsidR="00CE37C5" w:rsidRPr="00A97271" w:rsidTr="00232F36">
        <w:trPr>
          <w:trHeight w:val="397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37C5" w:rsidRPr="00A97271" w:rsidRDefault="00CE37C5" w:rsidP="00232F36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1</w:t>
            </w:r>
            <w:r w:rsidR="00232F36">
              <w:rPr>
                <w:rFonts w:cs="Calibri"/>
              </w:rPr>
              <w:t>6.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37C5" w:rsidRPr="00E312C5" w:rsidRDefault="00CE37C5">
            <w:pPr>
              <w:spacing w:after="0" w:line="240" w:lineRule="auto"/>
              <w:ind w:left="113" w:right="113"/>
              <w:jc w:val="center"/>
              <w:rPr>
                <w:rFonts w:cs="Calibri"/>
                <w:i/>
                <w:color w:val="0070C0"/>
                <w:sz w:val="18"/>
                <w:szCs w:val="18"/>
              </w:rPr>
            </w:pPr>
            <w:r w:rsidRPr="00E312C5">
              <w:rPr>
                <w:rFonts w:cs="Calibri"/>
                <w:sz w:val="18"/>
                <w:szCs w:val="18"/>
              </w:rPr>
              <w:t>Umiejętności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A97271" w:rsidRDefault="00CE37C5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U1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CA43A4" w:rsidRDefault="008F761E" w:rsidP="008F76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 xml:space="preserve">Demonstruje </w:t>
            </w:r>
            <w:r w:rsidR="00CA43A4"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 xml:space="preserve"> elementarne umiejętności badawcze pozwalające na analizowanie przykładów badań oraz konstruowanie i prowadzenie prostych badań pedagogicznych; potrafi sformułować wnioski, opracować i zaprezentowaćwyniki (z wykorzystaniem ICT) oraz wskazywać kierunki dalszych badań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A97271" w:rsidRDefault="002B7821" w:rsidP="000761A0">
            <w:pPr>
              <w:spacing w:after="0" w:line="240" w:lineRule="auto"/>
              <w:rPr>
                <w:rFonts w:eastAsia="UniversPro-Roman" w:cs="Calibri"/>
                <w:i/>
                <w:color w:val="0070C0"/>
              </w:rPr>
            </w:pPr>
            <w:r>
              <w:rPr>
                <w:rFonts w:eastAsia="UniversPro-Roman" w:cs="Calibri"/>
                <w:i/>
                <w:color w:val="0070C0"/>
              </w:rPr>
              <w:t>K_U05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A4" w:rsidRPr="00CA43A4" w:rsidRDefault="00CA43A4" w:rsidP="00CA43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UniversPro-Roman"/>
                <w:i/>
                <w:color w:val="0070C0"/>
                <w:kern w:val="0"/>
                <w:lang w:eastAsia="pl-PL"/>
              </w:rPr>
            </w:pPr>
            <w:r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H1A_U02</w:t>
            </w:r>
          </w:p>
          <w:p w:rsidR="00CA43A4" w:rsidRPr="00CA43A4" w:rsidRDefault="00CA43A4" w:rsidP="00CA43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UniversPro-Roman"/>
                <w:i/>
                <w:color w:val="0070C0"/>
                <w:kern w:val="0"/>
                <w:lang w:eastAsia="pl-PL"/>
              </w:rPr>
            </w:pPr>
            <w:r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H1A_U04</w:t>
            </w:r>
          </w:p>
          <w:p w:rsidR="00CA43A4" w:rsidRPr="00CA43A4" w:rsidRDefault="00CA43A4" w:rsidP="00CA43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UniversPro-Roman"/>
                <w:i/>
                <w:color w:val="0070C0"/>
                <w:kern w:val="0"/>
                <w:lang w:eastAsia="pl-PL"/>
              </w:rPr>
            </w:pPr>
            <w:r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S1A_U01</w:t>
            </w:r>
          </w:p>
          <w:p w:rsidR="00CE37C5" w:rsidRPr="00CA43A4" w:rsidRDefault="00CA43A4" w:rsidP="00CA43A4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CA43A4">
              <w:rPr>
                <w:rFonts w:cs="UniversPro-Roman"/>
                <w:i/>
                <w:color w:val="0070C0"/>
                <w:kern w:val="0"/>
                <w:lang w:eastAsia="pl-PL"/>
              </w:rPr>
              <w:t>S1A_U02</w:t>
            </w:r>
          </w:p>
        </w:tc>
      </w:tr>
      <w:tr w:rsidR="00CE37C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E37C5" w:rsidRPr="00A97271" w:rsidRDefault="00CE37C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E37C5" w:rsidRPr="00E312C5" w:rsidRDefault="00CE37C5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A97271" w:rsidRDefault="00CE37C5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U2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A97271" w:rsidRDefault="00CE37C5" w:rsidP="00E312C5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A97271" w:rsidRDefault="00CE37C5" w:rsidP="000761A0">
            <w:pPr>
              <w:spacing w:after="0" w:line="240" w:lineRule="auto"/>
              <w:rPr>
                <w:rFonts w:cs="Calibri"/>
                <w:i/>
                <w:color w:val="0070C0"/>
                <w:lang w:eastAsia="pl-PL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7C5" w:rsidRPr="00A97271" w:rsidRDefault="00CE37C5" w:rsidP="000761A0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  <w:tr w:rsidR="00632F90" w:rsidRPr="00A97271" w:rsidTr="00232F36">
        <w:trPr>
          <w:trHeight w:val="397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 w:rsidP="00232F36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1</w:t>
            </w:r>
            <w:r w:rsidR="00232F36">
              <w:rPr>
                <w:rFonts w:cs="Calibri"/>
              </w:rPr>
              <w:t>7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32F90" w:rsidRPr="00E312C5" w:rsidRDefault="00632F90">
            <w:pPr>
              <w:spacing w:after="0" w:line="240" w:lineRule="auto"/>
              <w:ind w:left="113" w:right="113"/>
              <w:jc w:val="center"/>
              <w:rPr>
                <w:rFonts w:cs="Calibri"/>
                <w:i/>
                <w:color w:val="0070C0"/>
                <w:sz w:val="18"/>
                <w:szCs w:val="18"/>
              </w:rPr>
            </w:pPr>
            <w:r w:rsidRPr="00E312C5">
              <w:rPr>
                <w:rFonts w:cs="Calibri"/>
                <w:sz w:val="18"/>
                <w:szCs w:val="18"/>
              </w:rPr>
              <w:t>Kompetencje społeczne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K1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2F664E" w:rsidRDefault="00A57D52" w:rsidP="000761A0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UniversPro-Roman"/>
                <w:i/>
                <w:color w:val="0070C0"/>
                <w:kern w:val="0"/>
                <w:lang w:eastAsia="pl-PL"/>
              </w:rPr>
              <w:t>J</w:t>
            </w:r>
            <w:r w:rsidR="00CA43A4" w:rsidRPr="002F664E">
              <w:rPr>
                <w:rFonts w:cs="UniversPro-Roman"/>
                <w:i/>
                <w:color w:val="0070C0"/>
                <w:kern w:val="0"/>
                <w:lang w:eastAsia="pl-PL"/>
              </w:rPr>
              <w:t>est świadomy istnienia etycznego wymiaru w badaniach naukowych</w:t>
            </w: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2B7821" w:rsidP="000761A0">
            <w:pPr>
              <w:spacing w:after="0" w:line="240" w:lineRule="auto"/>
              <w:rPr>
                <w:rFonts w:eastAsia="UniversPro-Roman" w:cs="Calibri"/>
                <w:i/>
                <w:color w:val="0070C0"/>
              </w:rPr>
            </w:pPr>
            <w:r>
              <w:rPr>
                <w:rFonts w:eastAsia="UniversPro-Roman" w:cs="Calibri"/>
                <w:i/>
                <w:color w:val="0070C0"/>
              </w:rPr>
              <w:t>K_K06</w:t>
            </w: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3A4" w:rsidRPr="002F664E" w:rsidRDefault="00CA43A4" w:rsidP="00CA43A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UniversPro-Roman"/>
                <w:i/>
                <w:color w:val="0070C0"/>
                <w:kern w:val="0"/>
                <w:lang w:eastAsia="pl-PL"/>
              </w:rPr>
            </w:pPr>
            <w:r w:rsidRPr="002F664E">
              <w:rPr>
                <w:rFonts w:cs="UniversPro-Roman"/>
                <w:i/>
                <w:color w:val="0070C0"/>
                <w:kern w:val="0"/>
                <w:lang w:eastAsia="pl-PL"/>
              </w:rPr>
              <w:t>S1A_K04</w:t>
            </w:r>
          </w:p>
          <w:p w:rsidR="00632F90" w:rsidRPr="002F664E" w:rsidRDefault="00CA43A4" w:rsidP="00CA43A4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2F664E">
              <w:rPr>
                <w:rFonts w:cs="UniversPro-Roman"/>
                <w:i/>
                <w:color w:val="0070C0"/>
                <w:kern w:val="0"/>
                <w:lang w:eastAsia="pl-PL"/>
              </w:rPr>
              <w:t>H1A_K04</w:t>
            </w:r>
          </w:p>
        </w:tc>
      </w:tr>
      <w:tr w:rsidR="00C31C8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31C85" w:rsidRPr="00A97271" w:rsidRDefault="00C31C85" w:rsidP="0055262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31C85" w:rsidRPr="00E312C5" w:rsidRDefault="00C31C85">
            <w:pPr>
              <w:spacing w:after="0" w:line="240" w:lineRule="auto"/>
              <w:ind w:left="113" w:right="113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K2</w:t>
            </w:r>
          </w:p>
        </w:tc>
        <w:tc>
          <w:tcPr>
            <w:tcW w:w="57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 w:rsidP="000761A0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 w:rsidP="000761A0">
            <w:pPr>
              <w:spacing w:after="0" w:line="240" w:lineRule="auto"/>
              <w:rPr>
                <w:rFonts w:eastAsia="UniversPro-Roman" w:cs="Calibri"/>
                <w:i/>
                <w:color w:val="0070C0"/>
              </w:rPr>
            </w:pPr>
          </w:p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C85" w:rsidRPr="00A97271" w:rsidRDefault="00C31C85" w:rsidP="000761A0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  <w:tr w:rsidR="00632F90" w:rsidRPr="00A97271" w:rsidTr="00A97271">
        <w:trPr>
          <w:trHeight w:val="397"/>
        </w:trPr>
        <w:tc>
          <w:tcPr>
            <w:tcW w:w="142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2F90" w:rsidRPr="00A97271" w:rsidRDefault="00632F90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Charakterystyka procesu realizacji przedmiotu/modułu</w:t>
            </w:r>
          </w:p>
        </w:tc>
      </w:tr>
      <w:tr w:rsidR="00AD0C93" w:rsidRPr="00A97271" w:rsidTr="00AD0C93">
        <w:trPr>
          <w:trHeight w:val="1723"/>
        </w:trPr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Forma zajęć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Czas realizacji [godziny]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Odniesienie do efektów kształcenia dla przedmiotu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93" w:rsidRPr="00A97271" w:rsidRDefault="00AD0C93" w:rsidP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Metod</w:t>
            </w:r>
            <w:r>
              <w:rPr>
                <w:rFonts w:cs="Calibri"/>
              </w:rPr>
              <w:t>y kształcenia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Default="00AD0C93">
            <w:pPr>
              <w:suppressAutoHyphens w:val="0"/>
              <w:spacing w:after="0" w:line="240" w:lineRule="auto"/>
              <w:rPr>
                <w:rFonts w:cs="Calibri"/>
              </w:rPr>
            </w:pPr>
          </w:p>
          <w:p w:rsidR="00AD0C93" w:rsidRDefault="00552620" w:rsidP="00AD0C9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Sposoby </w:t>
            </w:r>
            <w:r w:rsidR="00AD0C93">
              <w:rPr>
                <w:rFonts w:cs="Calibri"/>
              </w:rPr>
              <w:t>weryfikacji</w:t>
            </w:r>
          </w:p>
          <w:p w:rsidR="00AD0C93" w:rsidRPr="00A97271" w:rsidRDefault="00AD0C93" w:rsidP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D0C93">
              <w:rPr>
                <w:rFonts w:cs="Calibri"/>
              </w:rPr>
              <w:t>zakładanych efektów kształcenia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Nakład pracy studenta [godziny]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∑ nakładów pracy studenta [godziny]</w:t>
            </w:r>
          </w:p>
          <w:p w:rsidR="00AD0C93" w:rsidRDefault="00AD0C9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∑ ECTS</w:t>
            </w:r>
          </w:p>
        </w:tc>
      </w:tr>
      <w:tr w:rsidR="00632F90" w:rsidRPr="00A97271" w:rsidTr="00A97271">
        <w:trPr>
          <w:trHeight w:val="397"/>
        </w:trPr>
        <w:tc>
          <w:tcPr>
            <w:tcW w:w="135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32F90" w:rsidRPr="00A97271" w:rsidRDefault="00632F90">
            <w:pPr>
              <w:spacing w:before="120" w:after="120" w:line="240" w:lineRule="auto"/>
              <w:jc w:val="center"/>
              <w:rPr>
                <w:rFonts w:cs="Calibri"/>
                <w:b/>
                <w:i/>
                <w:color w:val="0099CC"/>
              </w:rPr>
            </w:pPr>
            <w:r w:rsidRPr="00A97271">
              <w:rPr>
                <w:rFonts w:cs="Calibri"/>
                <w:i/>
              </w:rPr>
              <w:lastRenderedPageBreak/>
              <w:t>Zajęcia realizowane w kontakcie z nauczycielem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F90" w:rsidRPr="00A97271" w:rsidRDefault="00632F9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D0C93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0C93" w:rsidRPr="00A97271" w:rsidRDefault="00AD0C93" w:rsidP="00232F36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</w:rPr>
              <w:t>1</w:t>
            </w:r>
            <w:r w:rsidR="00232F36">
              <w:rPr>
                <w:rFonts w:cs="Calibri"/>
              </w:rPr>
              <w:t>8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F05135" w:rsidRDefault="00AD0C93" w:rsidP="005E46D4">
            <w:pPr>
              <w:spacing w:after="0" w:line="240" w:lineRule="auto"/>
              <w:rPr>
                <w:rFonts w:cs="Calibri"/>
                <w:i/>
              </w:rPr>
            </w:pPr>
            <w:r w:rsidRPr="00F05135">
              <w:rPr>
                <w:rFonts w:cs="Calibri"/>
                <w:i/>
              </w:rPr>
              <w:t>Wykład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2F664E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5E46D4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W1; W2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668" w:rsidRPr="00C64668" w:rsidRDefault="00A4613B">
            <w:pPr>
              <w:spacing w:after="0" w:line="240" w:lineRule="auto"/>
              <w:rPr>
                <w:rFonts w:cs="Calibri"/>
                <w:i/>
                <w:color w:val="FF0000"/>
              </w:rPr>
            </w:pPr>
            <w:r w:rsidRPr="00A97271">
              <w:rPr>
                <w:rFonts w:cs="Calibri"/>
                <w:i/>
                <w:color w:val="0070C0"/>
              </w:rPr>
              <w:t xml:space="preserve">wykład </w:t>
            </w:r>
            <w:r>
              <w:rPr>
                <w:rFonts w:cs="Calibri"/>
                <w:i/>
                <w:color w:val="0070C0"/>
              </w:rPr>
              <w:t>informacyjny, dyskusja grupowa</w:t>
            </w:r>
          </w:p>
          <w:p w:rsidR="00AD0C93" w:rsidRPr="00A97271" w:rsidRDefault="00AD0C93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668" w:rsidRPr="00A97271" w:rsidRDefault="00A4613B" w:rsidP="001A16D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  <w:i/>
                <w:color w:val="0070C0"/>
              </w:rPr>
              <w:t xml:space="preserve">zaliczenie z oceną - test sprawdzający podsumowujący (pytania </w:t>
            </w:r>
            <w:r>
              <w:rPr>
                <w:rFonts w:cs="Calibri"/>
                <w:i/>
                <w:color w:val="0070C0"/>
              </w:rPr>
              <w:t>otwarte rozszerzonej odpowiedzi)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4118A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30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4118A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6</w:t>
            </w:r>
            <w:r w:rsidR="00BC540A">
              <w:rPr>
                <w:rFonts w:cs="Calibri"/>
                <w:i/>
                <w:color w:val="0070C0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436DA3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4</w:t>
            </w:r>
          </w:p>
        </w:tc>
      </w:tr>
      <w:tr w:rsidR="00AD0C93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0C93" w:rsidRPr="00A97271" w:rsidRDefault="00AD0C93" w:rsidP="00232F36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</w:rPr>
              <w:t>1</w:t>
            </w:r>
            <w:r w:rsidR="00232F36">
              <w:rPr>
                <w:rFonts w:cs="Calibri"/>
              </w:rPr>
              <w:t>9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F05135" w:rsidRDefault="00AD0C93">
            <w:pPr>
              <w:spacing w:after="0" w:line="240" w:lineRule="auto"/>
              <w:rPr>
                <w:rFonts w:cs="Calibri"/>
                <w:i/>
              </w:rPr>
            </w:pPr>
            <w:r w:rsidRPr="00F05135">
              <w:rPr>
                <w:rFonts w:cs="Calibri"/>
                <w:i/>
              </w:rPr>
              <w:t>Ćwiczenia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5E46D4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5E46D4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U1; K1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C93" w:rsidRPr="00A97271" w:rsidRDefault="00A4613B" w:rsidP="00E312C5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metoda projektów i </w:t>
            </w:r>
            <w:r w:rsidRPr="00A97271">
              <w:rPr>
                <w:rFonts w:cs="Calibri"/>
                <w:i/>
                <w:color w:val="0070C0"/>
              </w:rPr>
              <w:t>metoda przypadków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13B" w:rsidRDefault="00132BD7" w:rsidP="00A4613B">
            <w:pPr>
              <w:spacing w:after="0" w:line="240" w:lineRule="auto"/>
              <w:rPr>
                <w:rFonts w:cs="Calibri"/>
                <w:i/>
                <w:color w:val="FF0000"/>
              </w:rPr>
            </w:pPr>
            <w:r>
              <w:rPr>
                <w:rFonts w:cs="Calibri"/>
                <w:i/>
                <w:color w:val="0070C0"/>
              </w:rPr>
              <w:t>e</w:t>
            </w:r>
            <w:r w:rsidR="00A4613B" w:rsidRPr="00A97271">
              <w:rPr>
                <w:rFonts w:cs="Calibri"/>
                <w:i/>
                <w:color w:val="0070C0"/>
              </w:rPr>
              <w:t xml:space="preserve">waluacja bieżąca na podstawie obserwacji aktywności i postaw studentów; ocena </w:t>
            </w:r>
            <w:r w:rsidR="00A256C8">
              <w:rPr>
                <w:rFonts w:cs="Calibri"/>
                <w:i/>
                <w:color w:val="0070C0"/>
              </w:rPr>
              <w:t xml:space="preserve">przedstawianych </w:t>
            </w:r>
            <w:r w:rsidR="00A4613B" w:rsidRPr="00A97271">
              <w:rPr>
                <w:rFonts w:cs="Calibri"/>
                <w:i/>
                <w:color w:val="0070C0"/>
              </w:rPr>
              <w:t>projektów indywidualnych i grupowych (projekt</w:t>
            </w:r>
            <w:r>
              <w:rPr>
                <w:rFonts w:cs="Calibri"/>
                <w:i/>
                <w:color w:val="0070C0"/>
              </w:rPr>
              <w:t xml:space="preserve">y związane z formułowaniem problemów badawczych, hipotez roboczych oraz konstruowaniem narzędzi badawczych </w:t>
            </w:r>
            <w:r w:rsidR="00A4613B" w:rsidRPr="00A97271">
              <w:rPr>
                <w:rFonts w:cs="Calibri"/>
                <w:i/>
                <w:color w:val="0070C0"/>
              </w:rPr>
              <w:t xml:space="preserve"> w </w:t>
            </w:r>
            <w:r>
              <w:rPr>
                <w:rFonts w:cs="Calibri"/>
                <w:i/>
                <w:color w:val="0070C0"/>
              </w:rPr>
              <w:t>dziedzinie pedagogiki</w:t>
            </w:r>
            <w:r w:rsidR="00A4613B" w:rsidRPr="00A97271">
              <w:rPr>
                <w:rFonts w:cs="Calibri"/>
                <w:i/>
                <w:color w:val="0070C0"/>
              </w:rPr>
              <w:t xml:space="preserve">). </w:t>
            </w:r>
            <w:r w:rsidR="00A4613B">
              <w:rPr>
                <w:rFonts w:cs="Calibri"/>
                <w:i/>
                <w:color w:val="0070C0"/>
              </w:rPr>
              <w:t xml:space="preserve">Uwaga: </w:t>
            </w:r>
            <w:r>
              <w:rPr>
                <w:rFonts w:cs="Calibri"/>
                <w:i/>
                <w:color w:val="0070C0"/>
              </w:rPr>
              <w:t>u</w:t>
            </w:r>
            <w:r w:rsidR="00A4613B" w:rsidRPr="00A97271">
              <w:rPr>
                <w:rFonts w:cs="Calibri"/>
                <w:i/>
                <w:color w:val="0070C0"/>
              </w:rPr>
              <w:t xml:space="preserve">czestnictwo w ćwiczeniach wymaga uprzedniego przygotowania – analiza źródeł; </w:t>
            </w:r>
            <w:r>
              <w:rPr>
                <w:rFonts w:cs="Calibri"/>
                <w:i/>
                <w:color w:val="0070C0"/>
              </w:rPr>
              <w:t>wykonanie projektów</w:t>
            </w:r>
          </w:p>
          <w:p w:rsidR="00C64668" w:rsidRPr="00A97271" w:rsidRDefault="00C64668" w:rsidP="001A16D8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4118A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30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AD0C93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D0C93" w:rsidRPr="00A97271" w:rsidRDefault="00232F36" w:rsidP="00552620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20</w:t>
            </w:r>
            <w:r w:rsidR="00AD0C93" w:rsidRPr="00A97271">
              <w:rPr>
                <w:rFonts w:cs="Calibri"/>
              </w:rPr>
              <w:t>.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C93" w:rsidRPr="00A97271" w:rsidRDefault="00AD0C93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  <w:i/>
              </w:rPr>
              <w:t>Zaliczenie z oceną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 w:rsidP="00857A87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C93" w:rsidRPr="00A97271" w:rsidRDefault="005E46D4" w:rsidP="00E312C5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W1; W2; </w:t>
            </w:r>
            <w:r w:rsidR="00A256C8">
              <w:rPr>
                <w:rFonts w:cs="Calibri"/>
                <w:i/>
                <w:color w:val="0070C0"/>
              </w:rPr>
              <w:t>U1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0C93" w:rsidRPr="00A97271" w:rsidRDefault="00AD0C93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C93" w:rsidRPr="00BC540A" w:rsidRDefault="00132BD7" w:rsidP="00132BD7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BC540A">
              <w:rPr>
                <w:rFonts w:cs="Calibri"/>
                <w:i/>
                <w:color w:val="0070C0"/>
              </w:rPr>
              <w:t>Kolokwium zaliczeniowe pisemne (trzy pytania otwarte</w:t>
            </w:r>
            <w:r w:rsidR="00BC540A" w:rsidRPr="00BC540A">
              <w:rPr>
                <w:rFonts w:cs="Calibri"/>
                <w:i/>
                <w:color w:val="0070C0"/>
              </w:rPr>
              <w:t xml:space="preserve"> z zakresu podanego na początku semestru)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C93" w:rsidRPr="00A97271" w:rsidRDefault="00AD0C93" w:rsidP="00857A87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C93" w:rsidRPr="00A97271" w:rsidRDefault="00AD0C93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A256C8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56C8" w:rsidRPr="00A97271" w:rsidRDefault="00232F36" w:rsidP="00A256C8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21</w:t>
            </w:r>
            <w:r w:rsidR="00A256C8" w:rsidRPr="00A97271">
              <w:rPr>
                <w:rFonts w:cs="Calibri"/>
              </w:rPr>
              <w:t>.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A97271">
              <w:rPr>
                <w:rFonts w:cs="Calibri"/>
                <w:i/>
              </w:rPr>
              <w:t>Konsultacje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W1; W2; U1; K1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k</w:t>
            </w:r>
            <w:r w:rsidRPr="00A97271">
              <w:rPr>
                <w:rFonts w:cs="Calibri"/>
                <w:i/>
                <w:color w:val="0070C0"/>
              </w:rPr>
              <w:t>onsult</w:t>
            </w:r>
            <w:r>
              <w:rPr>
                <w:rFonts w:cs="Calibri"/>
                <w:i/>
                <w:color w:val="0070C0"/>
              </w:rPr>
              <w:t xml:space="preserve">acje dotyczące realizacji  </w:t>
            </w:r>
            <w:r w:rsidRPr="00A97271">
              <w:rPr>
                <w:rFonts w:cs="Calibri"/>
                <w:i/>
                <w:color w:val="0070C0"/>
              </w:rPr>
              <w:t>projektów indywidualnych igrupowych</w:t>
            </w:r>
          </w:p>
        </w:tc>
        <w:tc>
          <w:tcPr>
            <w:tcW w:w="28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A256C8" w:rsidRPr="00A97271" w:rsidTr="00080F71">
        <w:trPr>
          <w:trHeight w:val="397"/>
        </w:trPr>
        <w:tc>
          <w:tcPr>
            <w:tcW w:w="1352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56C8" w:rsidRPr="00A97271" w:rsidRDefault="00A256C8" w:rsidP="00A256C8">
            <w:pPr>
              <w:spacing w:before="120" w:after="12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Zajęcia realizowane bez kontaktu z nauczycielem</w:t>
            </w:r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</w:tr>
      <w:tr w:rsidR="00A256C8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56C8" w:rsidRPr="00A97271" w:rsidRDefault="00232F36" w:rsidP="00A256C8">
            <w:pPr>
              <w:spacing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</w:rPr>
              <w:t>22</w:t>
            </w:r>
            <w:r w:rsidR="00A256C8" w:rsidRPr="00A97271">
              <w:rPr>
                <w:rFonts w:cs="Calibri"/>
              </w:rPr>
              <w:t>.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Wykonanie projektów indywidualnych i </w:t>
            </w:r>
            <w:r>
              <w:rPr>
                <w:rFonts w:cs="Calibri"/>
                <w:i/>
              </w:rPr>
              <w:lastRenderedPageBreak/>
              <w:t>grupowych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W1; W2; U1; K1</w:t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metoda projektów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ocena projektów indywidualnych i grupowych przedstawianych na </w:t>
            </w:r>
            <w:r>
              <w:rPr>
                <w:rFonts w:cs="Calibri"/>
                <w:i/>
                <w:color w:val="0070C0"/>
              </w:rPr>
              <w:lastRenderedPageBreak/>
              <w:t>ćwiczeniach (j.w.)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4118A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lastRenderedPageBreak/>
              <w:t>20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4118A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4</w:t>
            </w:r>
            <w:r w:rsidR="00436DA3">
              <w:rPr>
                <w:rFonts w:cs="Calibri"/>
                <w:i/>
                <w:color w:val="0070C0"/>
              </w:rPr>
              <w:t>0</w:t>
            </w:r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A256C8" w:rsidRPr="00A97271" w:rsidTr="00232F36">
        <w:trPr>
          <w:trHeight w:val="397"/>
        </w:trPr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56C8" w:rsidRPr="00A97271" w:rsidRDefault="00232F36" w:rsidP="00A256C8">
            <w:pPr>
              <w:spacing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</w:rPr>
              <w:lastRenderedPageBreak/>
              <w:t>23</w:t>
            </w:r>
            <w:r w:rsidR="00A256C8" w:rsidRPr="00A97271">
              <w:rPr>
                <w:rFonts w:cs="Calibri"/>
              </w:rPr>
              <w:t>.</w:t>
            </w:r>
          </w:p>
        </w:tc>
        <w:tc>
          <w:tcPr>
            <w:tcW w:w="1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Przygotowanie do zaliczenia końcowego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W1; W2; U1</w:t>
            </w:r>
          </w:p>
        </w:tc>
        <w:tc>
          <w:tcPr>
            <w:tcW w:w="3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samokształcenie: samodzielna lektura zaleconych opracowań z zakresu metodologii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k</w:t>
            </w:r>
            <w:r w:rsidRPr="00BC540A">
              <w:rPr>
                <w:rFonts w:cs="Calibri"/>
                <w:i/>
                <w:color w:val="0070C0"/>
              </w:rPr>
              <w:t>olokwium zaliczeniowe pisemne</w:t>
            </w:r>
            <w:r>
              <w:rPr>
                <w:rFonts w:cs="Calibri"/>
                <w:i/>
                <w:color w:val="0070C0"/>
              </w:rPr>
              <w:t xml:space="preserve"> (j.w.)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4118A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20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A256C8" w:rsidRPr="00A97271" w:rsidTr="00A97271">
        <w:trPr>
          <w:trHeight w:val="397"/>
        </w:trPr>
        <w:tc>
          <w:tcPr>
            <w:tcW w:w="1428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256C8" w:rsidRPr="00A97271" w:rsidRDefault="00A256C8" w:rsidP="00A256C8">
            <w:pPr>
              <w:pStyle w:val="Akapitzlist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Treści programowe</w:t>
            </w:r>
          </w:p>
        </w:tc>
      </w:tr>
      <w:tr w:rsidR="00A256C8" w:rsidRPr="00A97271" w:rsidTr="007111AA">
        <w:trPr>
          <w:trHeight w:val="397"/>
        </w:trPr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pStyle w:val="Akapitzlist1"/>
              <w:spacing w:after="0" w:line="240" w:lineRule="auto"/>
              <w:ind w:left="360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Forma zajęć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Numer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Treści kształcenia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∑ godzin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Razem</w:t>
            </w:r>
          </w:p>
        </w:tc>
      </w:tr>
      <w:tr w:rsidR="00A256C8" w:rsidRPr="00A97271" w:rsidTr="00232F36">
        <w:trPr>
          <w:trHeight w:val="397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256C8" w:rsidRPr="00A97271" w:rsidRDefault="00232F36" w:rsidP="00A256C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A256C8" w:rsidRPr="00A97271">
              <w:rPr>
                <w:rFonts w:cs="Calibri"/>
              </w:rPr>
              <w:t>.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56C8" w:rsidRPr="00F05135" w:rsidRDefault="00F05135" w:rsidP="00A256C8">
            <w:pPr>
              <w:spacing w:after="0" w:line="240" w:lineRule="auto"/>
              <w:jc w:val="center"/>
              <w:rPr>
                <w:rFonts w:cs="Calibri"/>
              </w:rPr>
            </w:pPr>
            <w:r w:rsidRPr="00F05135">
              <w:rPr>
                <w:rFonts w:cs="Calibri"/>
              </w:rPr>
              <w:t>W</w:t>
            </w:r>
            <w:r w:rsidR="00A256C8" w:rsidRPr="00F05135">
              <w:rPr>
                <w:rFonts w:cs="Calibri"/>
              </w:rPr>
              <w:t>ykład</w:t>
            </w:r>
            <w:r w:rsidRPr="00F05135">
              <w:rPr>
                <w:rFonts w:cs="Calibri"/>
              </w:rPr>
              <w:t>y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256C8" w:rsidP="00A256C8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1.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C95001" w:rsidP="00A256C8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 w:rsidRPr="000801E2">
              <w:rPr>
                <w:i/>
                <w:color w:val="0070C0"/>
              </w:rPr>
              <w:t>Zajęcia wprowadzające</w:t>
            </w:r>
            <w:r>
              <w:rPr>
                <w:i/>
                <w:color w:val="0070C0"/>
              </w:rPr>
              <w:t>.</w:t>
            </w:r>
            <w:r w:rsidRPr="00321638">
              <w:rPr>
                <w:i/>
                <w:color w:val="0070C0"/>
              </w:rPr>
              <w:t xml:space="preserve"> Nauka a metodologia badań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A97271" w:rsidRDefault="00A4118A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30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C8" w:rsidRPr="00827AEC" w:rsidRDefault="00A4118A" w:rsidP="00A256C8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6</w:t>
            </w:r>
            <w:r w:rsidR="00827AEC" w:rsidRPr="00827AEC">
              <w:rPr>
                <w:rFonts w:cs="Calibri"/>
                <w:i/>
                <w:color w:val="0070C0"/>
              </w:rPr>
              <w:t>0</w:t>
            </w:r>
          </w:p>
        </w:tc>
      </w:tr>
      <w:tr w:rsidR="00C95001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95001" w:rsidRPr="00A97271" w:rsidRDefault="00C95001" w:rsidP="00C950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5001" w:rsidRPr="00F05135" w:rsidRDefault="00C95001" w:rsidP="00C9500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01" w:rsidRPr="00A97271" w:rsidRDefault="00C95001" w:rsidP="00C9500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2.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01" w:rsidRPr="005E3771" w:rsidRDefault="00C95001" w:rsidP="00C95001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Organizacja badań naukowych w pedagogice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01" w:rsidRPr="00A97271" w:rsidRDefault="00C95001" w:rsidP="00C95001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001" w:rsidRPr="00A97271" w:rsidRDefault="00C95001" w:rsidP="00C95001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A97271">
              <w:rPr>
                <w:rFonts w:cs="Calibri"/>
                <w:i/>
              </w:rPr>
              <w:t>3.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Strategie ilościowe i jakościowe w badaniach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4.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 xml:space="preserve">Ogólna charakterystyka głównych metod </w:t>
            </w:r>
            <w:r>
              <w:rPr>
                <w:i/>
                <w:color w:val="0070C0"/>
              </w:rPr>
              <w:t xml:space="preserve">i technik </w:t>
            </w:r>
            <w:r w:rsidRPr="005E3771">
              <w:rPr>
                <w:i/>
                <w:color w:val="0070C0"/>
              </w:rPr>
              <w:t>badań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Pomiar w badaniach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6.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M</w:t>
            </w:r>
            <w:r w:rsidRPr="005E3771">
              <w:rPr>
                <w:i/>
                <w:color w:val="0070C0"/>
              </w:rPr>
              <w:t>etoda</w:t>
            </w:r>
            <w:r>
              <w:rPr>
                <w:i/>
                <w:color w:val="0070C0"/>
              </w:rPr>
              <w:t xml:space="preserve"> i techniki</w:t>
            </w:r>
            <w:r w:rsidRPr="005E3771">
              <w:rPr>
                <w:i/>
                <w:color w:val="0070C0"/>
              </w:rPr>
              <w:t xml:space="preserve"> obserwacji pedagogicznej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7.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Metoda i techniki sondażu diagnostycznego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8.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Technika (metoda) badania dokumentów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9.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Eksperyment pedagogiczny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10.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Metoda socjometryczna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11.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Metoda biograficzna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12.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5E3771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5E3771">
              <w:rPr>
                <w:i/>
                <w:color w:val="0070C0"/>
              </w:rPr>
              <w:t>Koncepcja pracy dyplomowej w pedagogice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2</w:t>
            </w:r>
            <w:r>
              <w:rPr>
                <w:rFonts w:cs="Calibri"/>
              </w:rPr>
              <w:t>5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0D6115" w:rsidRPr="00F05135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  <w:r w:rsidRPr="00F05135">
              <w:rPr>
                <w:rFonts w:cs="Calibri"/>
              </w:rPr>
              <w:t>Ćwiczenia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Formułowanie problemów oraz hipotez w badaniach pedagogicznych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30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2.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Dobór zmiennych i wskaźników w badaniach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3.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Badania sondażowe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4.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Badania niereaktywne w pedagogice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5.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Testy osiągnięć szkolnych w badaniach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6.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Wykorzystanie skal ocen w badaniach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7.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bCs/>
                <w:i/>
                <w:iCs/>
                <w:color w:val="0070C0"/>
              </w:rPr>
              <w:t>Podstawowe rodzaje zmiennych i skal do ich pomiaru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8.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</w:rPr>
              <w:t>Porządkowanie i grupowanie danych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9.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 w:rsidRPr="00020335">
              <w:rPr>
                <w:i/>
                <w:color w:val="0070C0"/>
                <w:szCs w:val="24"/>
              </w:rPr>
              <w:t>Repetytorium z metod i technik badań pedagogicznych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GoBack" w:colFirst="3" w:colLast="3"/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10.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Kolokwium z</w:t>
            </w:r>
            <w:r w:rsidRPr="00020335">
              <w:rPr>
                <w:i/>
                <w:color w:val="0070C0"/>
              </w:rPr>
              <w:t>aliczen</w:t>
            </w:r>
            <w:r>
              <w:rPr>
                <w:i/>
                <w:color w:val="0070C0"/>
              </w:rPr>
              <w:t>iow</w:t>
            </w:r>
            <w:r w:rsidRPr="00020335">
              <w:rPr>
                <w:i/>
                <w:color w:val="0070C0"/>
              </w:rPr>
              <w:t>e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bookmarkEnd w:id="0"/>
      <w:tr w:rsidR="000D6115" w:rsidRPr="00A97271" w:rsidTr="00232F36">
        <w:trPr>
          <w:trHeight w:val="397"/>
        </w:trPr>
        <w:tc>
          <w:tcPr>
            <w:tcW w:w="5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11.</w:t>
            </w:r>
          </w:p>
        </w:tc>
        <w:tc>
          <w:tcPr>
            <w:tcW w:w="95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020335" w:rsidRDefault="000D6115" w:rsidP="000D6115">
            <w:pPr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i/>
                <w:color w:val="0070C0"/>
              </w:rPr>
            </w:pPr>
          </w:p>
        </w:tc>
      </w:tr>
      <w:tr w:rsidR="000D6115" w:rsidRPr="00A97271" w:rsidTr="00EB278A">
        <w:tc>
          <w:tcPr>
            <w:tcW w:w="142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6115" w:rsidRDefault="000D6115" w:rsidP="000D6115">
            <w:pPr>
              <w:pStyle w:val="Akapitzlist2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Zasady oceniania</w:t>
            </w:r>
          </w:p>
        </w:tc>
      </w:tr>
      <w:tr w:rsidR="000D6115" w:rsidRPr="00A97271" w:rsidTr="0055262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D6115" w:rsidRDefault="000D6115" w:rsidP="000D6115">
            <w:pPr>
              <w:pStyle w:val="Akapitzlist2"/>
              <w:spacing w:after="0" w:line="240" w:lineRule="auto"/>
              <w:ind w:left="360"/>
            </w:pPr>
          </w:p>
          <w:p w:rsidR="000D6115" w:rsidRDefault="000D6115" w:rsidP="000D6115">
            <w:pPr>
              <w:pStyle w:val="Akapitzlist2"/>
              <w:spacing w:after="0" w:line="240" w:lineRule="auto"/>
              <w:ind w:left="360"/>
            </w:pPr>
          </w:p>
          <w:p w:rsidR="000D6115" w:rsidRDefault="000D6115" w:rsidP="000D6115">
            <w:pPr>
              <w:pStyle w:val="Akapitzlist2"/>
              <w:spacing w:after="0" w:line="240" w:lineRule="auto"/>
              <w:ind w:left="360"/>
            </w:pPr>
          </w:p>
          <w:p w:rsidR="000D6115" w:rsidRDefault="000D6115" w:rsidP="000D6115">
            <w:pPr>
              <w:pStyle w:val="Akapitzlist2"/>
              <w:spacing w:after="0" w:line="240" w:lineRule="auto"/>
              <w:ind w:left="0"/>
            </w:pPr>
            <w:r>
              <w:t>26.</w:t>
            </w:r>
          </w:p>
          <w:p w:rsidR="000D6115" w:rsidRDefault="000D6115" w:rsidP="000D6115">
            <w:pPr>
              <w:pStyle w:val="Akapitzlist2"/>
              <w:spacing w:after="0" w:line="240" w:lineRule="auto"/>
              <w:ind w:left="360"/>
            </w:pPr>
          </w:p>
          <w:p w:rsidR="000D6115" w:rsidRDefault="000D6115" w:rsidP="000D6115">
            <w:pPr>
              <w:pStyle w:val="Akapitzlist2"/>
              <w:spacing w:after="0" w:line="240" w:lineRule="auto"/>
              <w:ind w:left="360"/>
            </w:pPr>
          </w:p>
          <w:p w:rsidR="000D6115" w:rsidRDefault="000D6115" w:rsidP="000D6115">
            <w:pPr>
              <w:pStyle w:val="Akapitzlist2"/>
              <w:spacing w:after="0" w:line="240" w:lineRule="auto"/>
              <w:ind w:left="360"/>
            </w:pPr>
          </w:p>
          <w:p w:rsidR="000D6115" w:rsidRDefault="000D6115" w:rsidP="000D6115">
            <w:pPr>
              <w:pStyle w:val="Akapitzlist2"/>
              <w:spacing w:after="0" w:line="240" w:lineRule="auto"/>
              <w:ind w:left="0"/>
            </w:pPr>
          </w:p>
        </w:tc>
        <w:tc>
          <w:tcPr>
            <w:tcW w:w="137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15" w:rsidRDefault="000D6115" w:rsidP="000D6115">
            <w:pPr>
              <w:pStyle w:val="Akapitzlist2"/>
              <w:ind w:left="0"/>
            </w:pPr>
            <w:r>
              <w:t xml:space="preserve">Skala odnosi się do stopnia osiągnięcia przez studenta określonego poziomu zakładanych efektów kształcenia w ramach przedmiotu. Wszystkie zakładane efekty kształcenia muszą być osiągnięte na minimalnym poziomie 60%. </w:t>
            </w:r>
          </w:p>
          <w:p w:rsidR="000D6115" w:rsidRDefault="000D6115" w:rsidP="000D6115">
            <w:pPr>
              <w:pStyle w:val="Akapitzlist2"/>
              <w:ind w:left="0"/>
            </w:pPr>
            <w:r>
              <w:t>Skala ocen:</w:t>
            </w:r>
          </w:p>
          <w:p w:rsidR="000D6115" w:rsidRDefault="000D6115" w:rsidP="000D6115">
            <w:pPr>
              <w:pStyle w:val="Akapitzlist2"/>
              <w:ind w:left="0"/>
            </w:pPr>
            <w:r>
              <w:t>bardzo dobry – minimum 90%</w:t>
            </w:r>
          </w:p>
          <w:p w:rsidR="000D6115" w:rsidRDefault="000D6115" w:rsidP="000D6115">
            <w:pPr>
              <w:pStyle w:val="Akapitzlist2"/>
              <w:ind w:left="0"/>
            </w:pPr>
            <w:r>
              <w:t>dobry plus – 85%-89%</w:t>
            </w:r>
          </w:p>
          <w:p w:rsidR="000D6115" w:rsidRDefault="000D6115" w:rsidP="000D6115">
            <w:pPr>
              <w:pStyle w:val="Akapitzlist2"/>
              <w:ind w:left="0"/>
            </w:pPr>
            <w:r>
              <w:t>dobry – 75%-84%</w:t>
            </w:r>
          </w:p>
          <w:p w:rsidR="000D6115" w:rsidRDefault="000D6115" w:rsidP="000D6115">
            <w:pPr>
              <w:pStyle w:val="Akapitzlist2"/>
              <w:ind w:left="0"/>
            </w:pPr>
            <w:r>
              <w:t>dostateczny plus – 70%-74%</w:t>
            </w:r>
          </w:p>
          <w:p w:rsidR="000D6115" w:rsidRPr="00436DA3" w:rsidRDefault="000D6115" w:rsidP="000D6115">
            <w:pPr>
              <w:pStyle w:val="Akapitzlist2"/>
              <w:ind w:left="0"/>
            </w:pPr>
            <w:r>
              <w:t>dostateczny – 60%-69%</w:t>
            </w:r>
          </w:p>
        </w:tc>
      </w:tr>
      <w:tr w:rsidR="000D6115" w:rsidRPr="00A97271" w:rsidTr="00EB278A">
        <w:tc>
          <w:tcPr>
            <w:tcW w:w="142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D6115" w:rsidRDefault="000D6115" w:rsidP="000D6115">
            <w:pPr>
              <w:pStyle w:val="Akapitzlist2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t>Literatura</w:t>
            </w:r>
          </w:p>
        </w:tc>
      </w:tr>
      <w:tr w:rsidR="000D6115" w:rsidRPr="00A97271" w:rsidTr="00232F36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2</w:t>
            </w:r>
            <w:r>
              <w:rPr>
                <w:rFonts w:cs="Calibri"/>
              </w:rPr>
              <w:t>7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A97271">
              <w:rPr>
                <w:rFonts w:cs="Calibri"/>
              </w:rPr>
              <w:t>Podstawowa</w:t>
            </w:r>
          </w:p>
        </w:tc>
        <w:tc>
          <w:tcPr>
            <w:tcW w:w="11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15" w:rsidRPr="00020335" w:rsidRDefault="000D6115" w:rsidP="000D61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Babbie E.,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Badania społeczne w praktyce</w:t>
            </w:r>
            <w:r w:rsidRPr="00020335">
              <w:rPr>
                <w:color w:val="0070C0"/>
                <w:sz w:val="22"/>
                <w:szCs w:val="22"/>
              </w:rPr>
              <w:t>, Warszawa 2003;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Rubacha K., </w:t>
            </w:r>
            <w:r w:rsidRPr="00020335">
              <w:rPr>
                <w:i/>
                <w:color w:val="0070C0"/>
                <w:sz w:val="22"/>
                <w:szCs w:val="22"/>
              </w:rPr>
              <w:t>Metodologia badań nad edukacją</w:t>
            </w:r>
            <w:r w:rsidRPr="00020335">
              <w:rPr>
                <w:color w:val="0070C0"/>
                <w:sz w:val="22"/>
                <w:szCs w:val="22"/>
              </w:rPr>
              <w:t>, Warszawa 2008;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Łobocki M.,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Metody i techniki badań pedagogicznych</w:t>
            </w:r>
            <w:r w:rsidRPr="00020335">
              <w:rPr>
                <w:color w:val="0070C0"/>
                <w:sz w:val="22"/>
                <w:szCs w:val="22"/>
              </w:rPr>
              <w:t>, Kraków 2005;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Pilch T., Bauman T.,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Zasady badań pedagogicznych. Strategie ilościowe i jakościowe</w:t>
            </w:r>
            <w:r w:rsidRPr="00020335">
              <w:rPr>
                <w:color w:val="0070C0"/>
                <w:sz w:val="22"/>
                <w:szCs w:val="22"/>
              </w:rPr>
              <w:t>, Warszawa 2001;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Zaczyński W.,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Praca badawcza nauczyciela</w:t>
            </w:r>
            <w:r w:rsidRPr="00020335">
              <w:rPr>
                <w:color w:val="0070C0"/>
                <w:sz w:val="22"/>
                <w:szCs w:val="22"/>
              </w:rPr>
              <w:t>, Warszawa 1997;</w:t>
            </w:r>
          </w:p>
        </w:tc>
      </w:tr>
      <w:tr w:rsidR="000D6115" w:rsidRPr="00A97271" w:rsidTr="00232F36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</w:rPr>
            </w:pPr>
            <w:r w:rsidRPr="00A97271">
              <w:rPr>
                <w:rFonts w:cs="Calibri"/>
              </w:rPr>
              <w:t>2</w:t>
            </w:r>
            <w:r>
              <w:rPr>
                <w:rFonts w:cs="Calibri"/>
              </w:rPr>
              <w:t>8</w:t>
            </w:r>
            <w:r w:rsidRPr="00A97271">
              <w:rPr>
                <w:rFonts w:cs="Calibri"/>
              </w:rPr>
              <w:t>.</w:t>
            </w:r>
          </w:p>
        </w:tc>
        <w:tc>
          <w:tcPr>
            <w:tcW w:w="2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115" w:rsidRPr="00A97271" w:rsidRDefault="000D6115" w:rsidP="000D6115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  <w:r w:rsidRPr="00A97271">
              <w:rPr>
                <w:rFonts w:cs="Calibri"/>
              </w:rPr>
              <w:t>Uzupełniająca</w:t>
            </w:r>
          </w:p>
        </w:tc>
        <w:tc>
          <w:tcPr>
            <w:tcW w:w="110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115" w:rsidRPr="00020335" w:rsidRDefault="000D6115" w:rsidP="000D6115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Nowak S.,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Metodologia badań społecznych</w:t>
            </w:r>
            <w:r w:rsidRPr="00020335">
              <w:rPr>
                <w:color w:val="0070C0"/>
                <w:sz w:val="22"/>
                <w:szCs w:val="22"/>
              </w:rPr>
              <w:t>, Warszawa 1985;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Nachmias D., Frankfort-Nachmias Ch.,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Metody badawcze w naukach społecznych</w:t>
            </w:r>
            <w:r w:rsidRPr="00020335">
              <w:rPr>
                <w:color w:val="0070C0"/>
                <w:sz w:val="22"/>
                <w:szCs w:val="22"/>
              </w:rPr>
              <w:t>, Warszawa 2003;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Brzeziński J.,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Metodologia badań psychologicznych</w:t>
            </w:r>
            <w:r w:rsidRPr="00020335">
              <w:rPr>
                <w:color w:val="0070C0"/>
                <w:sz w:val="22"/>
                <w:szCs w:val="22"/>
              </w:rPr>
              <w:t>, Warszawa 2004;</w:t>
            </w:r>
          </w:p>
          <w:p w:rsidR="000D6115" w:rsidRPr="00020335" w:rsidRDefault="000D6115" w:rsidP="000D6115">
            <w:pPr>
              <w:pStyle w:val="Tekstpodstawowywcity2"/>
              <w:numPr>
                <w:ilvl w:val="0"/>
                <w:numId w:val="6"/>
              </w:numPr>
              <w:spacing w:after="0" w:line="240" w:lineRule="auto"/>
              <w:jc w:val="both"/>
              <w:rPr>
                <w:color w:val="0070C0"/>
                <w:sz w:val="22"/>
                <w:szCs w:val="22"/>
              </w:rPr>
            </w:pPr>
            <w:r w:rsidRPr="00020335">
              <w:rPr>
                <w:color w:val="0070C0"/>
                <w:sz w:val="22"/>
                <w:szCs w:val="22"/>
              </w:rPr>
              <w:t xml:space="preserve">Ferguson G. A., Takane Y., </w:t>
            </w:r>
            <w:r w:rsidRPr="00020335">
              <w:rPr>
                <w:i/>
                <w:iCs/>
                <w:color w:val="0070C0"/>
                <w:sz w:val="22"/>
                <w:szCs w:val="22"/>
              </w:rPr>
              <w:t>Analiza statystyczna w psychologii i pedagogice</w:t>
            </w:r>
            <w:r w:rsidRPr="00020335">
              <w:rPr>
                <w:color w:val="0070C0"/>
                <w:sz w:val="22"/>
                <w:szCs w:val="22"/>
              </w:rPr>
              <w:t>, Warszawa 2003.</w:t>
            </w:r>
          </w:p>
        </w:tc>
      </w:tr>
    </w:tbl>
    <w:p w:rsidR="00A97271" w:rsidRDefault="00A97271">
      <w:pPr>
        <w:jc w:val="right"/>
        <w:rPr>
          <w:rFonts w:cs="Calibri"/>
        </w:rPr>
      </w:pPr>
    </w:p>
    <w:p w:rsidR="00A97271" w:rsidRDefault="00A97271">
      <w:pPr>
        <w:jc w:val="right"/>
        <w:rPr>
          <w:rFonts w:cs="Calibri"/>
        </w:rPr>
      </w:pPr>
    </w:p>
    <w:sectPr w:rsidR="00A97271" w:rsidSect="00E664E5">
      <w:pgSz w:w="16838" w:h="11906" w:orient="landscape"/>
      <w:pgMar w:top="1134" w:right="1418" w:bottom="567" w:left="1418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46118B"/>
    <w:multiLevelType w:val="hybridMultilevel"/>
    <w:tmpl w:val="48043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F72C7"/>
    <w:multiLevelType w:val="hybridMultilevel"/>
    <w:tmpl w:val="B198808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3F3676C"/>
    <w:multiLevelType w:val="hybridMultilevel"/>
    <w:tmpl w:val="D73250B0"/>
    <w:lvl w:ilvl="0" w:tplc="DFF42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04AC7"/>
    <w:rsid w:val="000052C4"/>
    <w:rsid w:val="00074DE1"/>
    <w:rsid w:val="000761A0"/>
    <w:rsid w:val="00080F71"/>
    <w:rsid w:val="000D6115"/>
    <w:rsid w:val="00132BD7"/>
    <w:rsid w:val="001A16D8"/>
    <w:rsid w:val="001B2B98"/>
    <w:rsid w:val="00223497"/>
    <w:rsid w:val="00223A63"/>
    <w:rsid w:val="00232F36"/>
    <w:rsid w:val="002B7821"/>
    <w:rsid w:val="002D30AB"/>
    <w:rsid w:val="002F664E"/>
    <w:rsid w:val="00386790"/>
    <w:rsid w:val="003A5B3B"/>
    <w:rsid w:val="003B001E"/>
    <w:rsid w:val="00436DA3"/>
    <w:rsid w:val="0047089F"/>
    <w:rsid w:val="00552620"/>
    <w:rsid w:val="005E46D4"/>
    <w:rsid w:val="00632F90"/>
    <w:rsid w:val="006F186E"/>
    <w:rsid w:val="007111AA"/>
    <w:rsid w:val="00714F53"/>
    <w:rsid w:val="007F3D0B"/>
    <w:rsid w:val="00827AEC"/>
    <w:rsid w:val="00857A87"/>
    <w:rsid w:val="00865BF9"/>
    <w:rsid w:val="008F761E"/>
    <w:rsid w:val="00973B01"/>
    <w:rsid w:val="009B1493"/>
    <w:rsid w:val="00A256C8"/>
    <w:rsid w:val="00A4118A"/>
    <w:rsid w:val="00A4613B"/>
    <w:rsid w:val="00A57D52"/>
    <w:rsid w:val="00A97271"/>
    <w:rsid w:val="00AD0C93"/>
    <w:rsid w:val="00B34403"/>
    <w:rsid w:val="00BC1E8D"/>
    <w:rsid w:val="00BC540A"/>
    <w:rsid w:val="00C31C85"/>
    <w:rsid w:val="00C64668"/>
    <w:rsid w:val="00C95001"/>
    <w:rsid w:val="00CA43A4"/>
    <w:rsid w:val="00CE37C5"/>
    <w:rsid w:val="00CE38C6"/>
    <w:rsid w:val="00D04AC7"/>
    <w:rsid w:val="00D163FF"/>
    <w:rsid w:val="00D86A0C"/>
    <w:rsid w:val="00DD08B2"/>
    <w:rsid w:val="00DD4DE9"/>
    <w:rsid w:val="00E14E51"/>
    <w:rsid w:val="00E312C5"/>
    <w:rsid w:val="00E51F92"/>
    <w:rsid w:val="00E664E5"/>
    <w:rsid w:val="00EB278A"/>
    <w:rsid w:val="00F05135"/>
    <w:rsid w:val="00FF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A6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23A63"/>
  </w:style>
  <w:style w:type="character" w:customStyle="1" w:styleId="TekstdymkaZnak">
    <w:name w:val="Tekst dymka Znak"/>
    <w:rsid w:val="00223A63"/>
    <w:rPr>
      <w:rFonts w:ascii="Tahoma" w:hAnsi="Tahoma" w:cs="Tahoma"/>
      <w:sz w:val="16"/>
      <w:szCs w:val="16"/>
    </w:rPr>
  </w:style>
  <w:style w:type="character" w:customStyle="1" w:styleId="st">
    <w:name w:val="st"/>
    <w:rsid w:val="00223A63"/>
    <w:rPr>
      <w:rFonts w:cs="Times New Roman"/>
    </w:rPr>
  </w:style>
  <w:style w:type="character" w:styleId="Uwydatnienie">
    <w:name w:val="Emphasis"/>
    <w:qFormat/>
    <w:rsid w:val="00223A63"/>
    <w:rPr>
      <w:rFonts w:cs="Times New Roman"/>
      <w:i/>
      <w:iCs/>
    </w:rPr>
  </w:style>
  <w:style w:type="character" w:customStyle="1" w:styleId="TekstprzypisukocowegoZnak">
    <w:name w:val="Tekst przypisu końcowego Znak"/>
    <w:rsid w:val="00223A63"/>
    <w:rPr>
      <w:lang w:eastAsia="en-US"/>
    </w:rPr>
  </w:style>
  <w:style w:type="character" w:customStyle="1" w:styleId="Odwoanieprzypisukocowego1">
    <w:name w:val="Odwołanie przypisu końcowego1"/>
    <w:rsid w:val="00223A63"/>
    <w:rPr>
      <w:vertAlign w:val="superscript"/>
    </w:rPr>
  </w:style>
  <w:style w:type="character" w:customStyle="1" w:styleId="ListLabel1">
    <w:name w:val="ListLabel 1"/>
    <w:rsid w:val="00223A63"/>
    <w:rPr>
      <w:rFonts w:cs="Times New Roman"/>
    </w:rPr>
  </w:style>
  <w:style w:type="paragraph" w:customStyle="1" w:styleId="Nagwek1">
    <w:name w:val="Nagłówek1"/>
    <w:basedOn w:val="Normalny"/>
    <w:next w:val="Tekstpodstawowy"/>
    <w:rsid w:val="00223A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23A63"/>
    <w:pPr>
      <w:spacing w:after="140" w:line="288" w:lineRule="auto"/>
    </w:pPr>
  </w:style>
  <w:style w:type="paragraph" w:styleId="Lista">
    <w:name w:val="List"/>
    <w:basedOn w:val="Tekstpodstawowy"/>
    <w:rsid w:val="00223A63"/>
    <w:rPr>
      <w:rFonts w:cs="Mangal"/>
    </w:rPr>
  </w:style>
  <w:style w:type="paragraph" w:styleId="Legenda">
    <w:name w:val="caption"/>
    <w:basedOn w:val="Normalny"/>
    <w:qFormat/>
    <w:rsid w:val="00223A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23A63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23A63"/>
    <w:pPr>
      <w:ind w:left="720"/>
      <w:contextualSpacing/>
    </w:pPr>
  </w:style>
  <w:style w:type="paragraph" w:customStyle="1" w:styleId="Tekstdymka1">
    <w:name w:val="Tekst dymka1"/>
    <w:basedOn w:val="Normalny"/>
    <w:rsid w:val="00223A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223A63"/>
    <w:pPr>
      <w:spacing w:after="280"/>
    </w:pPr>
    <w:rPr>
      <w:rFonts w:ascii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rsid w:val="00223A63"/>
    <w:pPr>
      <w:spacing w:after="0" w:line="240" w:lineRule="auto"/>
    </w:pPr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EB278A"/>
    <w:pPr>
      <w:suppressAutoHyphens w:val="0"/>
      <w:ind w:left="720"/>
      <w:contextualSpacing/>
    </w:pPr>
    <w:rPr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668"/>
    <w:rPr>
      <w:rFonts w:ascii="Calibri" w:hAnsi="Calibri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668"/>
    <w:rPr>
      <w:rFonts w:ascii="Calibri" w:hAnsi="Calibri"/>
      <w:b/>
      <w:bCs/>
      <w:kern w:val="1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6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64668"/>
    <w:rPr>
      <w:rFonts w:ascii="Tahoma" w:hAnsi="Tahoma" w:cs="Tahoma"/>
      <w:kern w:val="1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386790"/>
    <w:pPr>
      <w:suppressAutoHyphens w:val="0"/>
      <w:spacing w:after="120" w:line="480" w:lineRule="auto"/>
      <w:ind w:left="283"/>
    </w:pPr>
    <w:rPr>
      <w:rFonts w:cs="Calibri"/>
      <w:kern w:val="0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6790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T.Kautz</dc:creator>
  <cp:lastModifiedBy>ania</cp:lastModifiedBy>
  <cp:revision>2</cp:revision>
  <cp:lastPrinted>2012-03-09T10:30:00Z</cp:lastPrinted>
  <dcterms:created xsi:type="dcterms:W3CDTF">2017-01-19T16:32:00Z</dcterms:created>
  <dcterms:modified xsi:type="dcterms:W3CDTF">2017-01-19T16:32:00Z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